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left="4677" w:right="0" w:firstLine="0"/>
        <w:rPr>
          <w:rFonts w:ascii="Liberation Sans" w:hAnsi="Liberation Sans" w:cs="Liberation Sans"/>
          <w:bCs/>
          <w:i/>
          <w:color w:val="280ef0"/>
          <w:sz w:val="22"/>
          <w:szCs w:val="22"/>
        </w:rPr>
      </w:pPr>
      <w:r>
        <w:rPr>
          <w:rFonts w:ascii="Liberation Sans" w:hAnsi="Liberation Sans" w:cs="Liberation Sans"/>
          <w:i/>
          <w:color w:val="0033cc"/>
          <w:sz w:val="22"/>
          <w:szCs w:val="22"/>
        </w:rPr>
      </w:r>
      <w:r>
        <w:rPr>
          <w:rFonts w:ascii="Liberation Sans" w:hAnsi="Liberation Sans" w:cs="Liberation Sans"/>
          <w:i/>
          <w:color w:val="280ef0"/>
          <w:sz w:val="22"/>
          <w:szCs w:val="22"/>
        </w:rPr>
        <w:t xml:space="preserve">В соответствии с п.п. 2.9-2.16</w:t>
      </w:r>
      <w:r>
        <w:rPr>
          <w:rFonts w:ascii="Liberation Sans" w:hAnsi="Liberation Sans" w:cs="Liberation Sans"/>
          <w:i/>
          <w:color w:val="280ef0"/>
          <w:sz w:val="22"/>
          <w:szCs w:val="22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eastAsia="Liberation Sans" w:cs="Liberation Sans"/>
          <w:b w:val="0"/>
          <w:bCs w:val="0"/>
          <w:i/>
          <w:iCs/>
          <w:color w:val="100df7"/>
          <w:sz w:val="22"/>
          <w:szCs w:val="22"/>
          <w:highlight w:val="none"/>
        </w:rPr>
        <w:t xml:space="preserve">Порядка предоставления субсидии некоммерческим организациям на проведение информационной кампании в рамках празднования юбилея города Новый Уренгой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,</w:t>
      </w:r>
      <w:r>
        <w:rPr>
          <w:rFonts w:ascii="Liberation Sans" w:hAnsi="Liberation Sans" w:eastAsia="Liberation Sans" w:cs="Liberation Sans"/>
          <w:i/>
          <w:iCs/>
          <w:color w:val="100df7"/>
          <w:sz w:val="22"/>
          <w:szCs w:val="22"/>
        </w:rPr>
        <w:t xml:space="preserve"> утвержденного постановлением Администрации города Новый Уренгой от 16.10.2024 № 523 </w:t>
      </w:r>
      <w:r/>
      <w:r>
        <w:rPr>
          <w:rFonts w:ascii="Liberation Sans" w:hAnsi="Liberation Sans" w:eastAsia="Liberation Sans" w:cs="Liberation Sans"/>
          <w:b w:val="0"/>
          <w:bCs w:val="0"/>
          <w:i/>
          <w:iCs/>
          <w:color w:val="280ef0"/>
          <w:sz w:val="22"/>
          <w:szCs w:val="22"/>
          <w:highlight w:val="none"/>
        </w:rPr>
      </w:r>
      <w:r>
        <w:rPr>
          <w:rFonts w:ascii="Liberation Sans" w:hAnsi="Liberation Sans" w:cs="Liberation Sans"/>
          <w:bCs/>
          <w:i/>
          <w:color w:val="280ef0"/>
          <w:sz w:val="22"/>
          <w:szCs w:val="22"/>
        </w:rPr>
      </w:r>
    </w:p>
    <w:p>
      <w:pPr>
        <w:pStyle w:val="915"/>
        <w:ind w:left="4677" w:right="0" w:firstLine="0"/>
        <w:spacing w:line="720" w:lineRule="auto"/>
        <w:rPr>
          <w:rFonts w:ascii="Liberation Sans" w:hAnsi="Liberation Sans" w:cs="Liberation Sans"/>
          <w:i/>
          <w:sz w:val="27"/>
          <w:szCs w:val="27"/>
        </w:rPr>
      </w:pP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  <w:r>
        <w:rPr>
          <w:rFonts w:ascii="Liberation Sans" w:hAnsi="Liberation Sans" w:cs="Liberation Sans"/>
          <w:i/>
          <w:sz w:val="27"/>
          <w:szCs w:val="27"/>
        </w:rPr>
      </w:r>
    </w:p>
    <w:p>
      <w:pPr>
        <w:pStyle w:val="910"/>
        <w:jc w:val="center"/>
        <w:spacing w:after="0" w:afterAutospacing="0" w:line="240" w:lineRule="auto"/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pPr>
      <w:r>
        <w:rPr>
          <w:rFonts w:ascii="Liberation Sans" w:hAnsi="Liberation Sans" w:cs="Liberation Sans"/>
          <w:b/>
          <w:bCs/>
          <w:color w:val="3300ff"/>
          <w:sz w:val="27"/>
          <w:szCs w:val="27"/>
        </w:rPr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Правила рассмотрения и оценки заявок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b/>
          <w:bCs/>
          <w:strike w:val="0"/>
          <w:color w:val="3300ff"/>
          <w:sz w:val="27"/>
          <w:szCs w:val="27"/>
          <w:highlight w:val="none"/>
        </w:rPr>
        <w:t xml:space="preserve">на участие в отборе</w:t>
      </w: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</w:p>
    <w:p>
      <w:pPr>
        <w:jc w:val="center"/>
        <w:spacing w:after="0" w:afterAutospacing="0" w:line="240" w:lineRule="auto"/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pP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color w:val="3300ff"/>
          <w:sz w:val="27"/>
          <w:szCs w:val="27"/>
          <w:highlight w:val="none"/>
        </w:rPr>
      </w:r>
    </w:p>
    <w:p>
      <w:pPr>
        <w:ind w:firstLine="708"/>
        <w:jc w:val="both"/>
        <w:spacing w:after="0" w:afterAutospacing="0" w:line="240" w:lineRule="auto"/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b w:val="0"/>
          <w:bCs w:val="0"/>
          <w:sz w:val="27"/>
          <w:szCs w:val="27"/>
          <w:highlight w:val="none"/>
        </w:rPr>
      </w: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  <w:t xml:space="preserve">Срок рассмотрения</w:t>
      </w:r>
      <w:r>
        <w:rPr>
          <w:rFonts w:ascii="Liberation Sans" w:hAnsi="Liberation Sans" w:cs="Liberation Sans"/>
          <w:b w:val="0"/>
          <w:bCs w:val="0"/>
          <w:sz w:val="27"/>
          <w:szCs w:val="27"/>
          <w:highlight w:val="none"/>
        </w:rPr>
        <w:t xml:space="preserve"> уполномоченным органом представленных заявки и документации, указанных в пункте 2.6 настоящего Порядка, не превышает 30 (тридцать) рабочих дней с даты регистрации заявки в журнале регистрации заявок.</w:t>
      </w:r>
      <w:r>
        <w:rPr>
          <w:rFonts w:ascii="Liberation Sans" w:hAnsi="Liberation Sans" w:cs="Liberation Sans"/>
          <w:b w:val="0"/>
          <w:bCs w:val="0"/>
          <w:sz w:val="27"/>
          <w:szCs w:val="27"/>
          <w:highlight w:val="none"/>
        </w:rPr>
      </w:r>
      <w:r>
        <w:rPr>
          <w:rFonts w:ascii="Liberation Sans" w:hAnsi="Liberation Sans" w:cs="Liberation Sans"/>
          <w:b w:val="0"/>
          <w:bCs w:val="0"/>
          <w:strike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Calibri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Calibri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rPr>
          <w:rFonts w:ascii="Liberation Sans" w:hAnsi="Liberation Sans" w:eastAsia="Calibri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  <w:t xml:space="preserve">Порядок </w:t>
      </w:r>
      <w:r>
        <w:rPr>
          <w:rFonts w:ascii="Liberation Sans" w:hAnsi="Liberation Sans" w:eastAsia="Calibri" w:cs="Liberation Sans"/>
          <w:b/>
          <w:bCs/>
          <w:color w:val="000000" w:themeColor="text1"/>
          <w:sz w:val="27"/>
          <w:szCs w:val="27"/>
          <w:highlight w:val="none"/>
        </w:rPr>
        <w:t xml:space="preserve">рассмотрения </w:t>
      </w: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  <w:t xml:space="preserve">уполномоченным органом </w:t>
      </w:r>
      <w:r>
        <w:rPr>
          <w:rFonts w:ascii="Liberation Sans" w:hAnsi="Liberation Sans" w:eastAsia="Calibri" w:cs="Liberation Sans"/>
          <w:b/>
          <w:bCs/>
          <w:color w:val="000000" w:themeColor="text1"/>
          <w:sz w:val="27"/>
          <w:szCs w:val="27"/>
          <w:highlight w:val="none"/>
        </w:rPr>
        <w:t xml:space="preserve">представленных заявок и документации:</w:t>
      </w: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Calibri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Calibri" w:cs="Liberation Sans"/>
          <w:color w:val="000000" w:themeColor="text1"/>
          <w:sz w:val="27"/>
          <w:szCs w:val="27"/>
          <w:highlight w:val="none"/>
        </w:rPr>
        <w:t xml:space="preserve">1. 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В срок, указанный в объявлении о проведении отбора, уполномоченный орган осуществляет прием заявок, регистрацию их в журнале регистрации заявок с указанием даты и времени поступления.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  <w:t xml:space="preserve">2. </w:t>
      </w:r>
      <w:r>
        <w:rPr>
          <w:rFonts w:ascii="Liberation Sans" w:hAnsi="Liberation Sans" w:cs="Liberation Sans"/>
          <w:sz w:val="27"/>
          <w:szCs w:val="27"/>
          <w:highlight w:val="none"/>
        </w:rPr>
        <w:t xml:space="preserve">В срок, указанный в пункте 2.9 настоящего Порядка, уполномоченный орган осуществляет проверку заявок и документации на предмет их соответствия требованиям, установленным в объявлении о проведении отбора на получение субсидии и участников отбора о соответств</w:t>
      </w:r>
      <w:r>
        <w:rPr>
          <w:rFonts w:ascii="Liberation Sans" w:hAnsi="Liberation Sans" w:cs="Liberation Sans"/>
          <w:sz w:val="27"/>
          <w:szCs w:val="27"/>
          <w:highlight w:val="none"/>
        </w:rPr>
        <w:t xml:space="preserve">ии требованиям, указанным в пункте 2.11 настоящего Порядка. </w:t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  <w:t xml:space="preserve"> </w:t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  <w:t xml:space="preserve">Возврат заявок участникам отбора на доработку не предусмотрен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r>
    </w:p>
    <w:p>
      <w:pPr>
        <w:pStyle w:val="935"/>
        <w:ind w:firstLine="709"/>
        <w:jc w:val="both"/>
        <w:spacing w:before="0" w:beforeAutospacing="0" w:line="240" w:lineRule="auto"/>
        <w:tabs>
          <w:tab w:val="left" w:pos="993" w:leader="none"/>
        </w:tabs>
        <w:rPr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Участник отбора по собственной инициативе пред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ставляет документы, подтверждающие соответствие требованиям, указанным в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пункте 2.11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 наст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оящего Порядка.</w:t>
      </w:r>
      <w:r>
        <w:rPr>
          <w:highlight w:val="white"/>
        </w:rPr>
      </w:r>
      <w:r>
        <w:rPr>
          <w:highlight w:val="white"/>
        </w:rPr>
      </w:r>
    </w:p>
    <w:p>
      <w:pPr>
        <w:pStyle w:val="935"/>
        <w:contextualSpacing w:val="0"/>
        <w:ind w:firstLine="709"/>
        <w:jc w:val="both"/>
        <w:widowControl/>
        <w:tabs>
          <w:tab w:val="left" w:pos="993" w:leader="none"/>
        </w:tabs>
        <w:rPr>
          <w:rFonts w:ascii="Liberation Sans" w:hAnsi="Liberation Sans" w:cs="Liberation Sans"/>
          <w:color w:val="000000" w:themeColor="text1"/>
          <w:spacing w:val="-4"/>
          <w:sz w:val="28"/>
          <w:szCs w:val="28"/>
          <w:highlight w:val="none"/>
        </w:rPr>
        <w:suppressLineNumbers w:val="0"/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В случае непредставления участнико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м отбора документов, отнесенных настоящим пунктом к числу добровольно представляемых,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уполномоченный орган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в течение 3 (трех) рабочих дней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 запрашивает их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самостоятельно в государ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ственных информационных системах или в порядке межведомственного электронного взаимодейств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ия.</w:t>
      </w:r>
      <w:r/>
      <w:r>
        <w:rPr>
          <w:highlight w:val="white"/>
        </w:rPr>
      </w:r>
      <w:r>
        <w:rPr>
          <w:rFonts w:ascii="Liberation Sans" w:hAnsi="Liberation Sans" w:cs="Liberation Sans"/>
          <w:color w:val="000000" w:themeColor="text1"/>
          <w:spacing w:val="-4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65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Соответствие участника отбора требованию подпункта 2.11.1 пункта 2.11 настоящего Порядка в части места регистрации не на территории государств, включенных в утвержденный Министерством финансов Российской Федерации перечень, и территорий, используемых для пр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омежуточного (офшорного) владения активами в Российской Федерации путем проверки выписки из ЕГРЮЛ, а в части отсутствия в уставном (складочном) капитале доли прямого или косвенного (через третьих лиц) участия офшорных компаний, в совокупности превышающей 25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 процентов, подтверждается подписанием заявки.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650" w:leader="none"/>
        </w:tabs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Сведения, подтверждающие соответствие участника отбора требованиям, установленным подпунктами 2.11.2, 2.11.3, 2.11.5, 2.11.6, 2.11.7 пункта 2.11 настоящего Порядка, запрашиваются уполномоченным органом в порядке межведомственного взаимодействия и посредство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м получения информации, содержащейся на интернет-сервисах, размещенных на официальных сайтах Федеральной налоговой службы, Министерства юстиции Российской Федерации, Федеральной службы по финансовому мониторингу, органов исполнительной власти Ямало-Ненецког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о автономного округа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650" w:leader="none"/>
        </w:tabs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Сведения, подтверждающие соответствие участника отбора требованиям, установленным подпунктом 2.11.4 пункта 2.11 настоящего Порядка, запрашиваются уполномоченным органом в Департаменте финансов Администрации города Новый Уренгой.</w:t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7"/>
          <w:szCs w:val="27"/>
          <w:highlight w:val="none"/>
        </w:rPr>
        <w:t xml:space="preserve"> </w:t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sz w:val="27"/>
          <w:szCs w:val="27"/>
          <w:highlight w:val="none"/>
        </w:rPr>
      </w:pPr>
      <w:r>
        <w:rPr>
          <w:rFonts w:ascii="Liberation Sans" w:hAnsi="Liberation Sans" w:eastAsia="Calibri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Calibri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  <w:t xml:space="preserve">Уполномоченный орган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 в срок, указанный в пункте 2.9 настоящего Порядка: 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– готовит заключение по результатам проверки заявки и документации на соответствие требованиям, указанным в объявлении о проведении отбора на получение субсидии, и участников отбора на соответствие требованиям, указанным в пункте 2.11 настоящего Порядка (да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лее – заключение по заявкам); 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– осуществляет организационные мероприятия, необходимые для проведения заседания конкурсной комиссии (далее – конкурсная комиссия). 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Заключение по заявкам содержит выводы о наличии оснований для предоставления участнику отбора субсидии или об отсутствии таких оснований (далее соответственно - положительное заключение, отрицательное заключение).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Основания для подготовки уполномоченным органом отрицательного заключения указаны в пункте 2.17 настоящего Порядка.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Основанием для подготовки положительного заключения является отсутствие оснований для подготовки отрицательного заключения, указанных в пункте 2.17 настоящего Порядка.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134" w:leader="none"/>
        </w:tabs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</w:p>
    <w:p>
      <w:pPr>
        <w:ind w:firstLine="708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  <w:t xml:space="preserve">Отбор получателей субсидии осуществляет конкурсная комиссия. </w:t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8"/>
        <w:jc w:val="both"/>
        <w:spacing w:after="0" w:afterAutospacing="0" w:line="240" w:lineRule="auto"/>
        <w:widowControl w:val="off"/>
        <w:tabs>
          <w:tab w:val="left" w:pos="993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7"/>
          <w:szCs w:val="27"/>
          <w:highlight w:val="none"/>
        </w:rPr>
        <w:t xml:space="preserve">Положение о конкурсной комиссии, ее состав утверждаются правовым актом Администрации города Новый Уренгой. Решения конкурсной комиссии носят рекомендательный характер и оформляются протоколом.</w:t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Заседание конкурсной комиссии по вопросу подведения итогов отбора заявок и документации проводится по мере подготовки всех заключений по заявкам для конкурсной комиссии, но не ранее окончания срока приема заявок. Заседание конкурсной комиссии проводится в т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ечение 1 (одного) рабочего дня.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pPr>
      <w:r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7"/>
          <w:szCs w:val="27"/>
          <w:highlight w:val="none"/>
        </w:rPr>
      </w:r>
    </w:p>
    <w:p>
      <w:pPr>
        <w:ind w:left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sz w:val="27"/>
          <w:szCs w:val="27"/>
          <w:highlight w:val="none"/>
        </w:rPr>
        <w:t xml:space="preserve">Конкурсн</w:t>
      </w:r>
      <w:r>
        <w:rPr>
          <w:rFonts w:ascii="Liberation Sans" w:hAnsi="Liberation Sans" w:cs="Liberation Sans"/>
          <w:b/>
          <w:bCs/>
          <w:color w:val="000000" w:themeColor="text1"/>
          <w:sz w:val="27"/>
          <w:szCs w:val="27"/>
          <w:highlight w:val="none"/>
        </w:rPr>
        <w:t xml:space="preserve">ая комиссия: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1. Принимает решение об отклонении заявки участника отбора по основаниям, указанным в пункте 2.17 Порядка.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2. 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Рассматривает поступившие заявки и документацию, заключения по заявкам, рассчитывает баллы по каждой заявке, не отклоненной конкурсной комиссией по основаниям, предусмотренным пунктом 2.17 настоящего Порядка, осуществляет ранжирование заявок в порядке набра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нных ими баллов.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3. Определя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ет победителя отбора.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4. 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Принимает решение об отклонении заявки участника отбора по основаниям, указанным в пункте 2.17 настоящего Порядка.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5.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Принимает решение о возможности предоставления субсидии единственному участнику отбора, подавшему единственную заявку, соответствующую требованиям, установленным в объявлении о проведении отбора, при услов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ии, что заявитель полностью соответствует требованиям, установленным пунктом 2.11 нас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тоящего Порядка</w:t>
      </w:r>
      <w:r>
        <w:rPr>
          <w:rFonts w:ascii="Liberation Sans" w:hAnsi="Liberation Sans" w:eastAsia="Liberation Serif" w:cs="Liberation Sans"/>
          <w:color w:val="000000" w:themeColor="text1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1701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6. </w:t>
      </w:r>
      <w:r>
        <w:rPr>
          <w:rFonts w:ascii="Liberation Sans" w:hAnsi="Liberation Sans" w:eastAsia="Liberation Serif" w:cs="Liberation Sans"/>
          <w:color w:val="000000" w:themeColor="text1"/>
          <w:sz w:val="27"/>
          <w:szCs w:val="27"/>
          <w:highlight w:val="none"/>
        </w:rPr>
        <w:t xml:space="preserve">Принимает решение о признании отбора не состоявшимся по основаниям, указанным в пункте 2.18 По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рядка.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1560" w:leader="none"/>
        </w:tabs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7. Решение конкурсной комиссии об определении победителя отбора принимается на основе ранжирования заявок в соответствии с присвоенными им порядковыми н</w:t>
      </w:r>
      <w:r>
        <w:rPr>
          <w:rFonts w:ascii="Liberation Sans" w:hAnsi="Liberation Sans" w:cs="Liberation Sans"/>
          <w:sz w:val="27"/>
          <w:szCs w:val="27"/>
          <w:highlight w:val="none"/>
        </w:rPr>
        <w:t xml:space="preserve">омерами, исходя из набранных ими баллов по установленным в пункте 2.5 Порядка </w:t>
      </w:r>
      <w:r>
        <w:rPr>
          <w:rFonts w:ascii="Liberation Sans" w:hAnsi="Liberation Sans" w:cs="Liberation Sans"/>
          <w:sz w:val="27"/>
          <w:szCs w:val="27"/>
          <w:highlight w:val="none"/>
        </w:rPr>
        <w:t xml:space="preserve">критериям </w:t>
      </w:r>
      <w:r>
        <w:rPr>
          <w:rFonts w:ascii="Liberation Sans" w:hAnsi="Liberation Sans" w:cs="Liberation Sans"/>
          <w:sz w:val="27"/>
          <w:szCs w:val="27"/>
          <w:highlight w:val="none"/>
        </w:rPr>
        <w:t xml:space="preserve">оценки</w:t>
      </w:r>
      <w:r>
        <w:rPr>
          <w:rFonts w:ascii="Liberation Sans" w:hAnsi="Liberation Sans" w:cs="Liberation Sans"/>
          <w:sz w:val="27"/>
          <w:szCs w:val="27"/>
          <w:highlight w:val="none"/>
        </w:rPr>
        <w:t xml:space="preserve"> заявок.</w:t>
      </w:r>
      <w:r>
        <w:rPr>
          <w:rFonts w:ascii="Liberation Sans" w:hAnsi="Liberation Sans" w:cs="Liberation Sans"/>
          <w:sz w:val="27"/>
          <w:szCs w:val="27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701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Каждой заявке по результатам балльной оценки, предусмотренной пунктом 2.5 Порядка, присваиваются баллы.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1701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Заявке, набравшей наибольшее количество баллов, присваивается порядковый номер 1. При равенстве набранных баллов порядковый номер 1 присваивается заявке, которая поступила в уполномоченный орган ранее других заявок.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pStyle w:val="750"/>
        <w:ind w:left="0" w:firstLine="709"/>
        <w:jc w:val="both"/>
        <w:spacing w:after="0" w:afterAutospacing="0" w:line="240" w:lineRule="auto"/>
        <w:tabs>
          <w:tab w:val="left" w:pos="709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Заявкам, не набравшим наибольшее количество баллов, присваиваются следующие порядковые номера в зависимости от количества набранных ими баллов. При равенстве набранных баллов преимущество отдается заявке, которая поступила в уполномоченный орган ранее други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х заявок.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7"/>
          <w:szCs w:val="27"/>
          <w:highlight w:val="none"/>
        </w:rPr>
        <w:t xml:space="preserve">8. 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  <w:t xml:space="preserve"> </w:t>
      </w:r>
      <w:r>
        <w:rPr>
          <w:rFonts w:ascii="Liberation Sans" w:hAnsi="Liberation Sans" w:cs="Liberation Sans"/>
          <w:color w:val="000000" w:themeColor="text1"/>
          <w:sz w:val="27"/>
          <w:szCs w:val="27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итогам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проведенного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отбора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заявок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случае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отсутствия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оснований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для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отклонения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заявки,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указанных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пункте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2.17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настоящего</w:t>
      </w:r>
      <w:r>
        <w:rPr>
          <w:rFonts w:ascii="Liberation Sans" w:hAnsi="Liberation Sans" w:cs="Liberation Sans"/>
          <w:color w:val="000000" w:themeColor="text1"/>
          <w:spacing w:val="-6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Порядка, а также на основании решения конкурсной комиссии, принятого в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соответствии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подпунктом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2.16.7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настоящего</w:t>
      </w:r>
      <w:r>
        <w:rPr>
          <w:rFonts w:ascii="Liberation Sans" w:hAnsi="Liberation Sans" w:cs="Liberation Sans"/>
          <w:color w:val="000000" w:themeColor="text1"/>
          <w:spacing w:val="-6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Порядка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рекомендует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ГРБС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предоставить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субсидию победителю отбора. 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tabs>
          <w:tab w:val="left" w:pos="0" w:leader="none"/>
          <w:tab w:val="left" w:pos="900" w:leader="none"/>
          <w:tab w:val="left" w:pos="1418" w:leader="none"/>
        </w:tabs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 случае наличия оснований для отклон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ения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заявки на участие в отборе, указанных в пункте 2.17 настоящего Порядка, а</w:t>
      </w:r>
      <w:r>
        <w:rPr>
          <w:rFonts w:ascii="Liberation Sans" w:hAnsi="Liberation Sans" w:cs="Liberation Sans"/>
          <w:color w:val="000000" w:themeColor="text1"/>
          <w:spacing w:val="-6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также</w:t>
      </w:r>
      <w:r>
        <w:rPr>
          <w:rFonts w:ascii="Liberation Sans" w:hAnsi="Liberation Sans" w:cs="Liberation Sans"/>
          <w:color w:val="000000" w:themeColor="text1"/>
          <w:spacing w:val="-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Liberation Sans" w:hAnsi="Liberation Sans" w:cs="Liberation Sans"/>
          <w:color w:val="000000" w:themeColor="text1"/>
          <w:spacing w:val="-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отношении</w:t>
      </w:r>
      <w:r>
        <w:rPr>
          <w:rFonts w:ascii="Liberation Sans" w:hAnsi="Liberation Sans" w:cs="Liberation Sans"/>
          <w:color w:val="000000" w:themeColor="text1"/>
          <w:spacing w:val="-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заявок</w:t>
      </w:r>
      <w:r>
        <w:rPr>
          <w:rFonts w:ascii="Liberation Sans" w:hAnsi="Liberation Sans" w:cs="Liberation Sans"/>
          <w:color w:val="000000" w:themeColor="text1"/>
          <w:spacing w:val="-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не</w:t>
      </w:r>
      <w:r>
        <w:rPr>
          <w:rFonts w:ascii="Liberation Sans" w:hAnsi="Liberation Sans" w:cs="Liberation Sans"/>
          <w:color w:val="000000" w:themeColor="text1"/>
          <w:spacing w:val="-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набравших</w:t>
      </w:r>
      <w:r>
        <w:rPr>
          <w:rFonts w:ascii="Liberation Sans" w:hAnsi="Liberation Sans" w:cs="Liberation Sans"/>
          <w:color w:val="000000" w:themeColor="text1"/>
          <w:spacing w:val="-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наибольшее</w:t>
      </w:r>
      <w:r>
        <w:rPr>
          <w:rFonts w:ascii="Liberation Sans" w:hAnsi="Liberation Sans" w:cs="Liberation Sans"/>
          <w:color w:val="000000" w:themeColor="text1"/>
          <w:spacing w:val="-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количество</w:t>
      </w:r>
      <w:r>
        <w:rPr>
          <w:rFonts w:ascii="Liberation Sans" w:hAnsi="Liberation Sans" w:cs="Liberation Sans"/>
          <w:color w:val="000000" w:themeColor="text1"/>
          <w:spacing w:val="-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баллов,</w:t>
      </w:r>
      <w:r>
        <w:rPr>
          <w:rFonts w:ascii="Liberation Sans" w:hAnsi="Liberation Sans" w:cs="Liberation Sans"/>
          <w:color w:val="000000" w:themeColor="text1"/>
          <w:spacing w:val="-1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не</w:t>
      </w:r>
      <w:r>
        <w:rPr>
          <w:rFonts w:ascii="Liberation Sans" w:hAnsi="Liberation Sans" w:cs="Liberation Sans"/>
          <w:color w:val="000000" w:themeColor="text1"/>
          <w:spacing w:val="-6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рекомендует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ГРБС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предоставление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субсидии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участникам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отбора,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представившим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данные</w:t>
      </w:r>
      <w:r>
        <w:rPr>
          <w:rFonts w:ascii="Liberation Sans" w:hAnsi="Liberation Sans" w:cs="Liberation Sans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заявки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trike/>
          <w:color w:val="000000" w:themeColor="text1"/>
          <w:sz w:val="28"/>
          <w:szCs w:val="28"/>
          <w:highlight w:val="none"/>
        </w:rPr>
      </w:r>
      <w:r/>
    </w:p>
    <w:p>
      <w:pPr>
        <w:ind w:firstLine="0"/>
        <w:jc w:val="both"/>
        <w:spacing w:after="0" w:afterAutospacing="0" w:line="240" w:lineRule="auto"/>
        <w:widowControl w:val="off"/>
        <w:tabs>
          <w:tab w:val="left" w:pos="1276" w:leader="none"/>
        </w:tabs>
        <w:rPr>
          <w:rFonts w:ascii="Liberation Sans" w:hAnsi="Liberation Sans" w:cs="Liberation Sans"/>
          <w:sz w:val="27"/>
          <w:szCs w:val="27"/>
        </w:rPr>
      </w:pP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  <w:r>
        <w:rPr>
          <w:rFonts w:ascii="Liberation Sans" w:hAnsi="Liberation Sans" w:cs="Liberation Sans"/>
          <w:sz w:val="27"/>
          <w:szCs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851" w:bottom="680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ahoma">
    <w:panose1 w:val="020B060603050402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center"/>
      <w:rPr>
        <w:rFonts w:ascii="Liberation Sans" w:hAnsi="Liberation Sans" w:cs="Liberation Sans"/>
        <w:sz w:val="24"/>
        <w:szCs w:val="24"/>
      </w:rPr>
    </w:pPr>
    <w:r>
      <w:rPr>
        <w:rFonts w:ascii="PT Astra Serif" w:hAnsi="PT Astra Serif"/>
        <w:sz w:val="24"/>
        <w:szCs w:val="24"/>
      </w:rPr>
      <w:fldChar w:fldCharType="begin"/>
    </w:r>
    <w:r>
      <w:rPr>
        <w:rFonts w:ascii="PT Astra Serif" w:hAnsi="PT Astra Serif"/>
        <w:sz w:val="24"/>
        <w:szCs w:val="24"/>
      </w:rPr>
      <w:instrText xml:space="preserve"> PAGE   \* MERGEFORMAT </w:instrText>
    </w:r>
    <w:r>
      <w:rPr>
        <w:rFonts w:ascii="Liberation Sans" w:hAnsi="Liberation Sans" w:eastAsia="Liberation Sans" w:cs="Liberation Sans"/>
        <w:sz w:val="24"/>
        <w:szCs w:val="24"/>
      </w:rPr>
      <w:fldChar w:fldCharType="separate"/>
    </w:r>
    <w:r>
      <w:rPr>
        <w:rFonts w:ascii="Liberation Sans" w:hAnsi="Liberation Sans" w:eastAsia="Liberation Sans" w:cs="Liberation Sans"/>
        <w:sz w:val="24"/>
        <w:szCs w:val="24"/>
      </w:rPr>
      <w:t xml:space="preserve">2</w:t>
    </w:r>
    <w:r>
      <w:rPr>
        <w:rFonts w:ascii="Liberation Sans" w:hAnsi="Liberation Sans" w:eastAsia="Liberation Sans" w:cs="Liberation Sans"/>
        <w:sz w:val="24"/>
        <w:szCs w:val="24"/>
      </w:rPr>
      <w:fldChar w:fldCharType="end"/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  <w:p>
    <w:pPr>
      <w:pStyle w:val="921"/>
      <w:rPr>
        <w:rFonts w:ascii="Liberation Sans" w:hAnsi="Liberation Sans" w:cs="Liberation Sans"/>
        <w:sz w:val="24"/>
        <w:szCs w:val="24"/>
      </w:rPr>
    </w:pPr>
    <w:r>
      <w:rPr>
        <w:rFonts w:ascii="Liberation Sans" w:hAnsi="Liberation Sans" w:eastAsia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  <w:r>
      <w:rPr>
        <w:rFonts w:ascii="Liberation Sans" w:hAnsi="Liberation Sans" w:cs="Liberation Sans"/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  <w:b/>
        <w:color w:val="0033cc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  <w:color w:val="363fe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  <w:color w:val="3300ff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8" w:hanging="360"/>
      </w:pPr>
      <w:rPr>
        <w:rFonts w:hint="default" w:ascii="Symbol" w:hAnsi="Symbol" w:eastAsia="Symbol" w:cs="Symbol"/>
        <w:color w:val="3300ff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strike w:val="0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  <w:color w:val="000000" w:themeColor="text1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basedOn w:val="764"/>
    <w:link w:val="762"/>
    <w:uiPriority w:val="99"/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11">
    <w:name w:val="Основной шрифт абзаца"/>
    <w:next w:val="911"/>
    <w:link w:val="910"/>
    <w:uiPriority w:val="1"/>
    <w:semiHidden/>
    <w:unhideWhenUsed/>
  </w:style>
  <w:style w:type="table" w:styleId="912">
    <w:name w:val="Обычная таблица"/>
    <w:next w:val="912"/>
    <w:link w:val="910"/>
    <w:uiPriority w:val="99"/>
    <w:semiHidden/>
    <w:unhideWhenUsed/>
    <w:qFormat/>
    <w:tblPr/>
  </w:style>
  <w:style w:type="numbering" w:styleId="913">
    <w:name w:val="Нет списка"/>
    <w:next w:val="913"/>
    <w:link w:val="910"/>
    <w:uiPriority w:val="99"/>
    <w:semiHidden/>
    <w:unhideWhenUsed/>
  </w:style>
  <w:style w:type="character" w:styleId="914">
    <w:name w:val="Гиперссылка"/>
    <w:basedOn w:val="911"/>
    <w:next w:val="914"/>
    <w:link w:val="910"/>
    <w:uiPriority w:val="99"/>
    <w:unhideWhenUsed/>
    <w:rPr>
      <w:color w:val="0000ff"/>
      <w:u w:val="single"/>
    </w:rPr>
  </w:style>
  <w:style w:type="paragraph" w:styleId="915">
    <w:name w:val="Текст"/>
    <w:basedOn w:val="910"/>
    <w:next w:val="915"/>
    <w:link w:val="916"/>
    <w:pPr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6">
    <w:name w:val="Текст Знак"/>
    <w:basedOn w:val="911"/>
    <w:next w:val="916"/>
    <w:link w:val="915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7">
    <w:name w:val="ConsPlusNormal"/>
    <w:next w:val="917"/>
    <w:link w:val="918"/>
    <w:pPr>
      <w:ind w:firstLine="720"/>
      <w:jc w:val="both"/>
      <w:widowControl w:val="off"/>
    </w:pPr>
    <w:rPr>
      <w:rFonts w:ascii="Arial" w:hAnsi="Arial" w:eastAsia="Times New Roman" w:cs="Arial"/>
      <w:sz w:val="22"/>
      <w:szCs w:val="22"/>
      <w:lang w:eastAsia="ru-RU" w:bidi="ar-SA"/>
    </w:rPr>
  </w:style>
  <w:style w:type="character" w:styleId="918">
    <w:name w:val="ConsPlusNormal Знак"/>
    <w:next w:val="918"/>
    <w:link w:val="917"/>
    <w:rPr>
      <w:rFonts w:ascii="Arial" w:hAnsi="Arial" w:eastAsia="Times New Roman" w:cs="Arial"/>
      <w:sz w:val="22"/>
      <w:szCs w:val="22"/>
      <w:lang w:eastAsia="ru-RU" w:bidi="ar-SA"/>
    </w:rPr>
  </w:style>
  <w:style w:type="paragraph" w:styleId="919">
    <w:name w:val="Текст выноски"/>
    <w:basedOn w:val="910"/>
    <w:next w:val="919"/>
    <w:link w:val="92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0">
    <w:name w:val="Текст выноски Знак"/>
    <w:basedOn w:val="911"/>
    <w:next w:val="920"/>
    <w:link w:val="919"/>
    <w:uiPriority w:val="99"/>
    <w:semiHidden/>
    <w:rPr>
      <w:rFonts w:ascii="Tahoma" w:hAnsi="Tahoma" w:cs="Tahoma"/>
      <w:sz w:val="16"/>
      <w:szCs w:val="16"/>
    </w:rPr>
  </w:style>
  <w:style w:type="paragraph" w:styleId="921">
    <w:name w:val="Верхний колонтитул"/>
    <w:basedOn w:val="910"/>
    <w:next w:val="921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>
    <w:name w:val="Верхний колонтитул Знак"/>
    <w:basedOn w:val="911"/>
    <w:next w:val="922"/>
    <w:link w:val="921"/>
    <w:uiPriority w:val="99"/>
  </w:style>
  <w:style w:type="paragraph" w:styleId="923">
    <w:name w:val="Нижний колонтитул"/>
    <w:basedOn w:val="910"/>
    <w:next w:val="923"/>
    <w:link w:val="924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>
    <w:name w:val="Нижний колонтитул Знак"/>
    <w:basedOn w:val="911"/>
    <w:next w:val="924"/>
    <w:link w:val="923"/>
    <w:uiPriority w:val="99"/>
    <w:semiHidden/>
  </w:style>
  <w:style w:type="character" w:styleId="925">
    <w:name w:val="Выделение"/>
    <w:basedOn w:val="911"/>
    <w:next w:val="925"/>
    <w:link w:val="910"/>
    <w:uiPriority w:val="20"/>
    <w:qFormat/>
    <w:rPr>
      <w:i/>
      <w:iCs/>
    </w:rPr>
  </w:style>
  <w:style w:type="paragraph" w:styleId="926">
    <w:name w:val="Абзац списка"/>
    <w:basedOn w:val="910"/>
    <w:next w:val="926"/>
    <w:link w:val="910"/>
    <w:uiPriority w:val="34"/>
    <w:qFormat/>
    <w:pPr>
      <w:contextualSpacing/>
      <w:ind w:left="720"/>
    </w:pPr>
  </w:style>
  <w:style w:type="character" w:styleId="927">
    <w:name w:val="Строгий"/>
    <w:next w:val="927"/>
    <w:link w:val="910"/>
    <w:rPr>
      <w:b/>
      <w:bCs/>
    </w:rPr>
  </w:style>
  <w:style w:type="paragraph" w:styleId="928">
    <w:name w:val="ConsPlusNonformat"/>
    <w:next w:val="928"/>
    <w:link w:val="91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929">
    <w:name w:val="Основной текст с отступом"/>
    <w:basedOn w:val="910"/>
    <w:next w:val="929"/>
    <w:link w:val="930"/>
    <w:pPr>
      <w:ind w:left="283"/>
      <w:spacing w:after="12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30">
    <w:name w:val="Основной текст с отступом Знак"/>
    <w:basedOn w:val="911"/>
    <w:next w:val="930"/>
    <w:link w:val="929"/>
    <w:rPr>
      <w:rFonts w:ascii="Times New Roman" w:hAnsi="Times New Roman" w:eastAsia="Times New Roman"/>
      <w:sz w:val="28"/>
    </w:rPr>
  </w:style>
  <w:style w:type="character" w:styleId="931" w:default="1">
    <w:name w:val="Default Paragraph Font"/>
    <w:uiPriority w:val="1"/>
    <w:semiHidden/>
    <w:unhideWhenUsed/>
  </w:style>
  <w:style w:type="numbering" w:styleId="932" w:default="1">
    <w:name w:val="No List"/>
    <w:uiPriority w:val="99"/>
    <w:semiHidden/>
    <w:unhideWhenUsed/>
  </w:style>
  <w:style w:type="table" w:styleId="933" w:default="1">
    <w:name w:val="Normal Table"/>
    <w:uiPriority w:val="99"/>
    <w:semiHidden/>
    <w:unhideWhenUsed/>
    <w:tblPr/>
  </w:style>
  <w:style w:type="paragraph" w:styleId="934" w:customStyle="1">
    <w:name w:val="Body Tex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5" w:customStyle="1">
    <w:name w:val="Plain Text"/>
    <w:basedOn w:val="814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Koleboshina.AP</dc:creator>
  <cp:revision>18</cp:revision>
  <dcterms:created xsi:type="dcterms:W3CDTF">2022-05-05T06:10:00Z</dcterms:created>
  <dcterms:modified xsi:type="dcterms:W3CDTF">2024-10-24T10:10:40Z</dcterms:modified>
  <cp:version>786432</cp:version>
</cp:coreProperties>
</file>