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1"/>
        <w:ind w:left="4677" w:right="0" w:firstLine="0"/>
        <w:rPr>
          <w:rFonts w:ascii="Liberation Sans" w:hAnsi="Liberation Sans" w:cs="Liberation Sans"/>
          <w:bCs/>
          <w:color w:val="0033cc"/>
        </w:rPr>
      </w:pPr>
      <w:r>
        <w:rPr>
          <w:rFonts w:ascii="Liberation Sans" w:hAnsi="Liberation Sans" w:cs="Liberation Sans"/>
          <w:i/>
          <w:color w:val="0033cc"/>
          <w:sz w:val="22"/>
          <w:szCs w:val="22"/>
        </w:rPr>
      </w:r>
      <w:r>
        <w:rPr>
          <w:rFonts w:ascii="Liberation Sans" w:hAnsi="Liberation Sans" w:cs="Liberation Sans"/>
          <w:i/>
          <w:color w:val="280ef0"/>
          <w:sz w:val="22"/>
          <w:szCs w:val="22"/>
        </w:rPr>
        <w:t xml:space="preserve">В соответствии с п.п. 2.13-2.21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280ef0"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100df7"/>
          <w:sz w:val="22"/>
          <w:szCs w:val="22"/>
          <w:highlight w:val="none"/>
        </w:rPr>
        <w:t xml:space="preserve">Порядка предоставления субсидии некоммерческим организациям на проведение информационной кампании в рамках празднования юбилея города Новый Уренгой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,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 утвержденного постановлением Администрации города Новый Уренгой от 16.10.2024 № 523 </w:t>
      </w:r>
      <w:r/>
      <w:r>
        <w:rPr>
          <w:rFonts w:ascii="Liberation Sans" w:hAnsi="Liberation Sans" w:eastAsia="Liberation Sans" w:cs="Liberation Sans"/>
          <w:b w:val="0"/>
          <w:bCs w:val="0"/>
          <w:i/>
          <w:iCs/>
          <w:color w:val="280ef0"/>
          <w:sz w:val="22"/>
          <w:szCs w:val="22"/>
          <w:highlight w:val="none"/>
        </w:rPr>
      </w:r>
      <w:r>
        <w:rPr>
          <w:rFonts w:ascii="Liberation Sans" w:hAnsi="Liberation Sans" w:cs="Liberation Sans"/>
          <w:bCs/>
          <w:color w:val="0033cc"/>
        </w:rPr>
      </w:r>
    </w:p>
    <w:p>
      <w:pPr>
        <w:pStyle w:val="931"/>
        <w:ind w:left="4677" w:right="0" w:firstLine="0"/>
        <w:spacing w:line="720" w:lineRule="auto"/>
        <w:rPr>
          <w:rFonts w:ascii="Liberation Sans" w:hAnsi="Liberation Sans" w:cs="Liberation Sans"/>
          <w:i/>
          <w:sz w:val="27"/>
          <w:szCs w:val="27"/>
        </w:rPr>
      </w:pPr>
      <w:r>
        <w:rPr>
          <w:rFonts w:ascii="Liberation Sans" w:hAnsi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i/>
          <w:sz w:val="27"/>
          <w:szCs w:val="27"/>
        </w:rPr>
      </w:r>
    </w:p>
    <w:p>
      <w:pPr>
        <w:pStyle w:val="926"/>
        <w:jc w:val="center"/>
        <w:spacing w:after="0" w:line="240" w:lineRule="auto"/>
        <w:rPr>
          <w:rFonts w:ascii="Liberation Sans" w:hAnsi="Liberation Sans" w:eastAsia="Liberation Sans" w:cs="Liberation Sans"/>
          <w:b/>
          <w:bCs/>
          <w:strike w:val="0"/>
          <w:color w:val="280ef0"/>
          <w:spacing w:val="-6"/>
          <w:sz w:val="27"/>
          <w:szCs w:val="27"/>
          <w:highlight w:val="none"/>
        </w:rPr>
      </w:pPr>
      <w:r>
        <w:rPr>
          <w:rFonts w:ascii="Liberation Sans" w:hAnsi="Liberation Sans" w:cs="Liberation Sans"/>
          <w:b/>
          <w:bCs/>
          <w:color w:val="280ef0"/>
          <w:sz w:val="27"/>
          <w:szCs w:val="27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280ef0"/>
          <w:spacing w:val="-6"/>
          <w:sz w:val="27"/>
          <w:szCs w:val="27"/>
          <w:highlight w:val="none"/>
        </w:rPr>
        <w:t xml:space="preserve">Порядок отклонения заявок</w:t>
      </w:r>
      <w:r>
        <w:rPr>
          <w:rFonts w:ascii="Liberation Sans" w:hAnsi="Liberation Sans" w:eastAsia="Liberation Sans" w:cs="Liberation Sans"/>
          <w:b/>
          <w:bCs/>
          <w:strike w:val="0"/>
          <w:color w:val="280ef0"/>
          <w:sz w:val="27"/>
          <w:szCs w:val="27"/>
          <w:highlight w:val="none"/>
        </w:rPr>
        <w:t xml:space="preserve"> на участие в отборе</w:t>
      </w:r>
      <w:r>
        <w:rPr>
          <w:rFonts w:ascii="Liberation Sans" w:hAnsi="Liberation Sans" w:eastAsia="Liberation Sans" w:cs="Liberation Sans"/>
          <w:b/>
          <w:bCs/>
          <w:strike w:val="0"/>
          <w:color w:val="280ef0"/>
          <w:spacing w:val="-6"/>
          <w:sz w:val="27"/>
          <w:szCs w:val="27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b/>
          <w:bCs/>
          <w:strike w:val="0"/>
          <w:color w:val="280ef0"/>
          <w:spacing w:val="-6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280ef0"/>
          <w:spacing w:val="-6"/>
          <w:sz w:val="27"/>
          <w:szCs w:val="27"/>
          <w:highlight w:val="none"/>
        </w:rPr>
      </w:r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b/>
          <w:bCs/>
          <w:color w:val="280ef0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b/>
          <w:bCs/>
          <w:strike w:val="0"/>
          <w:color w:val="280ef0"/>
          <w:spacing w:val="-6"/>
          <w:sz w:val="27"/>
          <w:szCs w:val="27"/>
          <w:highlight w:val="none"/>
        </w:rPr>
        <w:t xml:space="preserve">основания для отклонения</w:t>
      </w:r>
      <w:r>
        <w:rPr>
          <w:rFonts w:ascii="Liberation Sans" w:hAnsi="Liberation Sans" w:cs="Liberation Sans"/>
          <w:b/>
          <w:bCs/>
          <w:color w:val="280ef0"/>
          <w:sz w:val="27"/>
          <w:szCs w:val="27"/>
          <w:highlight w:val="none"/>
        </w:rPr>
        <w:t xml:space="preserve"> заявок</w:t>
      </w:r>
      <w:r>
        <w:rPr>
          <w:rFonts w:ascii="Liberation Sans" w:hAnsi="Liberation Sans" w:cs="Liberation Sans"/>
          <w:b/>
          <w:bCs/>
          <w:color w:val="280ef0"/>
          <w:sz w:val="27"/>
          <w:szCs w:val="27"/>
          <w:highlight w:val="none"/>
        </w:rPr>
      </w:r>
      <w:r>
        <w:rPr>
          <w:rFonts w:ascii="Liberation Sans" w:hAnsi="Liberation Sans" w:cs="Liberation Sans"/>
          <w:b/>
          <w:bCs/>
          <w:color w:val="280ef0"/>
          <w:sz w:val="27"/>
          <w:szCs w:val="27"/>
          <w:highlight w:val="none"/>
        </w:rPr>
      </w:r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b/>
          <w:bCs/>
          <w:color w:val="3300ff"/>
          <w:sz w:val="27"/>
          <w:szCs w:val="27"/>
          <w:highlight w:val="none"/>
        </w:rPr>
      </w:pPr>
      <w:r>
        <w:rPr>
          <w:rFonts w:ascii="Liberation Sans" w:hAnsi="Liberation Sans" w:cs="Liberation Sans"/>
          <w:b/>
          <w:bCs/>
          <w:color w:val="3300ff"/>
          <w:sz w:val="27"/>
          <w:szCs w:val="27"/>
          <w:highlight w:val="none"/>
        </w:rPr>
      </w:r>
      <w:r>
        <w:rPr>
          <w:rFonts w:ascii="Liberation Sans" w:hAnsi="Liberation Sans" w:cs="Liberation Sans"/>
          <w:b/>
          <w:bCs/>
          <w:color w:val="3300ff"/>
          <w:sz w:val="27"/>
          <w:szCs w:val="27"/>
          <w:highlight w:val="none"/>
        </w:rPr>
      </w:r>
      <w:r>
        <w:rPr>
          <w:rFonts w:ascii="Liberation Sans" w:hAnsi="Liberation Sans" w:cs="Liberation Sans"/>
          <w:b/>
          <w:bCs/>
          <w:color w:val="3300ff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134" w:leader="none"/>
        </w:tabs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7"/>
          <w:szCs w:val="27"/>
          <w:highlight w:val="none"/>
        </w:rPr>
        <w:t xml:space="preserve">Уполномоченный орган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 </w:t>
      </w:r>
      <w:r>
        <w:rPr>
          <w:rFonts w:ascii="Liberation Sans" w:hAnsi="Liberation Sans" w:eastAsia="Calibri" w:cs="Liberation Sans"/>
          <w:color w:val="000000" w:themeColor="text1"/>
          <w:sz w:val="27"/>
          <w:szCs w:val="27"/>
          <w:highlight w:val="none"/>
        </w:rPr>
        <w:t xml:space="preserve">в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 срок, </w:t>
      </w:r>
      <w:r>
        <w:rPr>
          <w:rFonts w:ascii="Liberation Sans" w:hAnsi="Liberation Sans" w:eastAsia="Calibri" w:cs="Liberation Sans"/>
          <w:color w:val="000000" w:themeColor="text1"/>
          <w:sz w:val="27"/>
          <w:szCs w:val="27"/>
          <w:highlight w:val="none"/>
        </w:rPr>
        <w:t xml:space="preserve">указанный в пункте 2.9 Порядка:</w:t>
      </w: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766"/>
        <w:numPr>
          <w:ilvl w:val="0"/>
          <w:numId w:val="34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готовит заключение по результатам проверки заявки и документации на соответствие требованиям, указанным в объявлении о проведении отбора на получение субсидии, и участников отбора на соответствие требованиям, указанным в пункте 2.11 настоящего Порядка (дале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е – заключение по заявкам); </w:t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766"/>
        <w:numPr>
          <w:ilvl w:val="0"/>
          <w:numId w:val="34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осуществляет организационные мероприятия, необходимые для проведения заседания конкурсной комиссии. </w:t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709" w:firstLine="0"/>
        <w:jc w:val="both"/>
        <w:spacing w:after="0" w:afterAutospacing="0" w:line="240" w:lineRule="auto"/>
        <w:tabs>
          <w:tab w:val="left" w:pos="1134" w:leader="none"/>
        </w:tabs>
        <w:rPr>
          <w:rFonts w:ascii="Liberation Sans" w:hAnsi="Liberation Sans" w:cs="Liberation Sans"/>
          <w:sz w:val="27"/>
          <w:szCs w:val="27"/>
          <w:highlight w:val="none"/>
        </w:rPr>
      </w:pP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7"/>
          <w:szCs w:val="27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none"/>
          <w14:ligatures w14:val="none"/>
        </w:rPr>
        <w:t xml:space="preserve">Заключение по заявкам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14:ligatures w14:val="none"/>
        </w:rPr>
        <w:t xml:space="preserve"> содержит выводы о наличии оснований для предоставления участнику отбора субсидии или об отсутствии таких оснований (далее соответственно - положительное заключение, отрицательное заключение).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14:ligatures w14:val="none"/>
        </w:rPr>
        <w:t xml:space="preserve">Основания для подготовки уполномоченным органом отрицательного заключения указаны в пункте 2.17 настоящего Порядка.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Liberation Sans" w:hAnsi="Liberation Sans" w:cs="Liberation Sans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14:ligatures w14:val="none"/>
        </w:rPr>
        <w:t xml:space="preserve">Основанием для подготовки положительного заключения является отсутствие оснований для подготовки отрицательного заключения, указанных в пункте 2.17 настоящего Порядка.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14:ligatures w14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b w:val="0"/>
          <w:bCs w:val="0"/>
          <w:color w:val="auto"/>
          <w:sz w:val="27"/>
          <w:szCs w:val="27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7"/>
          <w:szCs w:val="27"/>
          <w:highlight w:val="none"/>
          <w14:ligatures w14:val="none"/>
        </w:rPr>
      </w:r>
    </w:p>
    <w:p>
      <w:pPr>
        <w:ind w:firstLine="708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  <w:t xml:space="preserve">Отбор получателей субсидии осуществляет конкурсная комиссия.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709"/>
        <w:jc w:val="both"/>
        <w:spacing w:after="0" w:afterAutospacing="0" w:line="240" w:lineRule="auto"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709"/>
        <w:jc w:val="both"/>
        <w:spacing w:after="0" w:afterAutospacing="0" w:line="240" w:lineRule="auto"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cs="Liberation Sans"/>
          <w:b/>
          <w:bCs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cs="Liberation Sans"/>
          <w:b/>
          <w:bCs/>
          <w:sz w:val="27"/>
          <w:szCs w:val="27"/>
          <w:highlight w:val="none"/>
        </w:rPr>
        <w:t xml:space="preserve">Конкурсн</w:t>
      </w:r>
      <w:r>
        <w:rPr>
          <w:rFonts w:ascii="Liberation Sans" w:hAnsi="Liberation Sans" w:cs="Liberation Sans"/>
          <w:b/>
          <w:bCs/>
          <w:color w:val="000000" w:themeColor="text1"/>
          <w:sz w:val="27"/>
          <w:szCs w:val="27"/>
          <w:highlight w:val="none"/>
        </w:rPr>
        <w:t xml:space="preserve">ая комиссия: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900" w:leader="none"/>
          <w:tab w:val="left" w:pos="1418" w:leader="none"/>
        </w:tabs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1. 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Рассматривает поступившие заявки и документацию, заключения по заявкам, рассчитывает баллы по каждой заявке, не отклоненной конкурсной комиссией по основаниям, предусмотренным пунктом 2.17 настоящего Порядка, осуществляет ранжирование заявок в поряд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ке набранных ими баллов.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900" w:leader="none"/>
          <w:tab w:val="left" w:pos="1418" w:leader="none"/>
        </w:tabs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2. Определяет победителя отбора.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900" w:leader="none"/>
          <w:tab w:val="left" w:pos="1418" w:leader="none"/>
        </w:tabs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3. Принимает решение об отклонении заявки участника отбора по основаниям, указанным в пункте 2.17 настоящего Порядка.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900" w:leader="none"/>
          <w:tab w:val="left" w:pos="1418" w:leader="none"/>
        </w:tabs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4. Принимает решение о возможности предоставления субсидии единственному участнику отбора, подавшему единственную заявку, соответствующую требованиям, установленным в объявлении о проведении отбора, при условии, что заявитель полностью соответствует тр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ебованиям, установленным пунктом 2.11 настоящего Порядка.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900" w:leader="none"/>
          <w:tab w:val="left" w:pos="1418" w:leader="none"/>
        </w:tabs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5. Принимает решение о признании отбора не состоявшимся по основаниям, указанным в пункте 2.18 настоящего Порядка.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6. Каждой заявке по результатам балльной оценки, предусмотренной пунктом 2.5 настоящего Порядка, присваиваются баллы.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Liberation Sans" w:hAnsi="Liberation Sans" w:cs="Liberation Sans"/>
          <w:color w:val="auto"/>
          <w:sz w:val="27"/>
          <w:szCs w:val="27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7"/>
          <w:szCs w:val="27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7"/>
          <w:szCs w:val="27"/>
          <w:highlight w:val="none"/>
          <w14:ligatures w14:val="none"/>
        </w:rPr>
      </w:r>
      <w:r>
        <w:rPr>
          <w:rFonts w:ascii="Liberation Sans" w:hAnsi="Liberation Sans" w:cs="Liberation Sans"/>
          <w:color w:val="auto"/>
          <w:sz w:val="27"/>
          <w:szCs w:val="27"/>
          <w:highlight w:val="none"/>
          <w14:ligatures w14:val="none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7"/>
          <w:szCs w:val="27"/>
          <w:highlight w:val="none"/>
        </w:rPr>
        <w:t xml:space="preserve">Основаниями для отклонения заявки являются:</w:t>
      </w:r>
      <w:r>
        <w:rPr>
          <w:rFonts w:ascii="Liberation Sans" w:hAnsi="Liberation Sans" w:eastAsia="Liberation Sans" w:cs="Liberation Sans"/>
          <w:sz w:val="27"/>
          <w:szCs w:val="27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766"/>
        <w:numPr>
          <w:ilvl w:val="0"/>
          <w:numId w:val="36"/>
        </w:numPr>
        <w:ind w:left="0" w:firstLine="567"/>
        <w:jc w:val="both"/>
        <w:spacing w:after="0" w:afterAutospacing="0" w:line="240" w:lineRule="auto"/>
        <w:widowControl w:val="off"/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несоответствие участника отбора требованиям, установленным пунктом 2.11 настоящего Порядка;</w:t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766"/>
        <w:numPr>
          <w:ilvl w:val="0"/>
          <w:numId w:val="36"/>
        </w:numPr>
        <w:ind w:left="0" w:firstLine="567"/>
        <w:jc w:val="both"/>
        <w:spacing w:after="0" w:afterAutospacing="0" w:line="240" w:lineRule="auto"/>
        <w:widowControl w:val="off"/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непредставление (представление не в полном объеме) документов, предусмотренных пунктом 2.6 настоящего Порядка, указанных в объявлении о проведении отбора;</w:t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766"/>
        <w:numPr>
          <w:ilvl w:val="0"/>
          <w:numId w:val="36"/>
        </w:numPr>
        <w:ind w:left="0" w:firstLine="567"/>
        <w:jc w:val="both"/>
        <w:spacing w:after="0" w:afterAutospacing="0" w:line="240" w:lineRule="auto"/>
        <w:widowControl w:val="off"/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несоответствие заявки и (или) документов требованиям, предусмотренным пунктом 2.6 настоящего Порядка, установленным в объявлении о проведении отбора; </w:t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766"/>
        <w:numPr>
          <w:ilvl w:val="0"/>
          <w:numId w:val="36"/>
        </w:numPr>
        <w:ind w:left="0" w:firstLine="567"/>
        <w:jc w:val="both"/>
        <w:spacing w:after="0" w:afterAutospacing="0" w:line="240" w:lineRule="auto"/>
        <w:widowControl w:val="off"/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недостоверность информации, содержащейся в заявке и документах, представленных участником отбора; </w:t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766"/>
        <w:numPr>
          <w:ilvl w:val="0"/>
          <w:numId w:val="36"/>
        </w:numPr>
        <w:ind w:left="0" w:firstLine="567"/>
        <w:jc w:val="both"/>
        <w:spacing w:after="0" w:afterAutospacing="0" w:line="240" w:lineRule="auto"/>
        <w:widowControl w:val="off"/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подача участником отбора заявки после даты и времени, определенных для подачи заявок.</w:t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567" w:firstLine="0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7"/>
          <w:szCs w:val="27"/>
          <w:highlight w:val="none"/>
        </w:rPr>
      </w:r>
    </w:p>
    <w:p>
      <w:pPr>
        <w:ind w:left="0" w:firstLine="720"/>
        <w:jc w:val="both"/>
        <w:spacing w:after="0" w:afterAutospacing="0" w:line="240" w:lineRule="auto"/>
        <w:tabs>
          <w:tab w:val="left" w:pos="993" w:leader="none"/>
        </w:tabs>
        <w:suppressLineNumbers w:val="0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Отбор признается конкурсной комиссией несостоявшимся в следующих случаях: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766"/>
        <w:numPr>
          <w:ilvl w:val="0"/>
          <w:numId w:val="35"/>
        </w:numPr>
        <w:ind w:left="0" w:firstLine="709"/>
        <w:jc w:val="both"/>
        <w:spacing w:after="0" w:afterAutospacing="0" w:line="240" w:lineRule="auto"/>
        <w:tabs>
          <w:tab w:val="left" w:pos="993" w:leader="none"/>
        </w:tabs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по окончании срока подачи заявок не подано ни одной заявки;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766"/>
        <w:numPr>
          <w:ilvl w:val="0"/>
          <w:numId w:val="35"/>
        </w:numPr>
        <w:ind w:left="0" w:firstLine="709"/>
        <w:jc w:val="both"/>
        <w:spacing w:after="0" w:afterAutospacing="0" w:line="240" w:lineRule="auto"/>
        <w:tabs>
          <w:tab w:val="left" w:pos="993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все заявки были отклонены по основаниям, предусмотренным пунктом 2.17 настоящего Порядка.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1560" w:leader="none"/>
        </w:tabs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1560" w:leader="none"/>
        </w:tabs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Решение конкурсной комиссии принимается большинством голосов путем открытого голосования.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1560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Если голоса членов конкурсной комиссии разделились поровну, голос председателя конкурсной комиссии является р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ешающим.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Liberation Sans" w:hAnsi="Liberation Sans" w:cs="Liberation Sans"/>
          <w:color w:val="auto"/>
          <w:sz w:val="27"/>
          <w:szCs w:val="27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Конкурсная комиссия правомочна принимать решения, если на ее заседании присутствует не менее половины ее состава. </w:t>
      </w:r>
      <w:r>
        <w:rPr>
          <w:rFonts w:ascii="Liberation Sans" w:hAnsi="Liberation Sans" w:eastAsia="Liberation Sans" w:cs="Liberation Sans"/>
          <w:color w:val="auto"/>
          <w:sz w:val="27"/>
          <w:szCs w:val="27"/>
          <w:highlight w:val="none"/>
          <w14:ligatures w14:val="none"/>
        </w:rPr>
      </w:r>
      <w:r>
        <w:rPr>
          <w:rFonts w:ascii="Liberation Sans" w:hAnsi="Liberation Sans" w:cs="Liberation Sans"/>
          <w:color w:val="auto"/>
          <w:sz w:val="27"/>
          <w:szCs w:val="27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color w:val="auto"/>
          <w:sz w:val="27"/>
          <w:szCs w:val="27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7"/>
          <w:szCs w:val="27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7"/>
          <w:szCs w:val="27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7"/>
          <w:szCs w:val="27"/>
          <w:highlight w:val="none"/>
          <w14:ligatures w14:val="none"/>
        </w:rPr>
      </w:r>
    </w:p>
    <w:p>
      <w:pPr>
        <w:contextualSpacing w:val="0"/>
        <w:ind w:firstLine="709"/>
        <w:jc w:val="both"/>
        <w:spacing w:after="0" w:afterAutospacing="0" w:line="240" w:lineRule="auto"/>
        <w:widowControl/>
        <w:tabs>
          <w:tab w:val="left" w:pos="0" w:leader="none"/>
          <w:tab w:val="left" w:pos="900" w:leader="none"/>
          <w:tab w:val="left" w:pos="141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По итогам заседания конкурсной комиссии оформляется протокол заседания конкурсной комиссии, который подписывается ее председателем и секретарем. Протокол оформляется и подписывается в течение 3 (трех) рабочих дней со дня заседания конкурс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ной комиссии.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contextualSpacing w:val="0"/>
        <w:ind w:firstLine="709"/>
        <w:jc w:val="both"/>
        <w:spacing w:after="0" w:afterAutospacing="0" w:line="240" w:lineRule="auto"/>
        <w:widowControl/>
        <w:tabs>
          <w:tab w:val="left" w:pos="0" w:leader="none"/>
          <w:tab w:val="left" w:pos="900" w:leader="none"/>
          <w:tab w:val="left" w:pos="141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Участники отбора, чьи заявки были отклонены конкурсной комиссией, уведомляются уполномоченным органом в письменном виде по форме согласно приложению 4 к настоящему Порядку в течение 3 (трех) рабочих дней после подписания протокола. Письменное уведомление на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правляется на электронную почту участника отбора, указанную в заявке. 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contextualSpacing w:val="0"/>
        <w:ind w:firstLine="709"/>
        <w:jc w:val="both"/>
        <w:spacing w:after="0" w:afterAutospacing="0" w:line="240" w:lineRule="auto"/>
        <w:widowControl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Участники отбора, чьи заявки не набрали наибольшее количество баллов и в отношении которых конкурсной комиссией не рекомендовано предоставление субсидии, уведомляются уполномоченным органом в письменном виде по форме согласно приложению 5 к настоящему Поряд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ку в течение 3 (трех) рабочих дней после подписания протокола. Письменное уведомление направляется на электронную почту участника отбора, указанную в заявке.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contextualSpacing w:val="0"/>
        <w:ind w:firstLine="709"/>
        <w:jc w:val="both"/>
        <w:spacing w:after="0" w:afterAutospacing="0" w:line="240" w:lineRule="auto"/>
        <w:widowControl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1276" w:leader="none"/>
        </w:tabs>
        <w:rPr>
          <w:rFonts w:ascii="Liberation Sans" w:hAnsi="Liberation Sans" w:cs="Liberation Sans"/>
          <w:sz w:val="27"/>
          <w:szCs w:val="27"/>
          <w:highlight w:val="none"/>
        </w:rPr>
      </w:pP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highlight w:val="white"/>
        </w:rPr>
        <w:t xml:space="preserve">Н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а основании протокола конкурсной комиссии </w:t>
      </w:r>
      <w:r>
        <w:rPr>
          <w:rFonts w:ascii="Liberation Sans" w:hAnsi="Liberation Sans" w:eastAsia="Liberation Serif" w:cs="Liberation Sans"/>
          <w:color w:val="000000" w:themeColor="text1"/>
          <w:spacing w:val="-6"/>
          <w:sz w:val="28"/>
          <w:szCs w:val="28"/>
          <w:highlight w:val="white"/>
        </w:rPr>
        <w:t xml:space="preserve">ГРБС принимает решение о предоставлении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 субсидии победителю отбора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.</w:t>
      </w:r>
      <w:r/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7"/>
          <w:szCs w:val="27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603050402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  <w:rPr>
        <w:rFonts w:ascii="Liberation Sans" w:hAnsi="Liberation Sans" w:cs="Liberation Sans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Liberation Sans" w:hAnsi="Liberation Sans" w:eastAsia="Liberation Sans" w:cs="Liberation Sans"/>
        <w:sz w:val="24"/>
        <w:szCs w:val="24"/>
      </w:rPr>
      <w:fldChar w:fldCharType="separate"/>
    </w:r>
    <w:r>
      <w:rPr>
        <w:rFonts w:ascii="Liberation Sans" w:hAnsi="Liberation Sans" w:eastAsia="Liberation Sans" w:cs="Liberation Sans"/>
        <w:sz w:val="24"/>
        <w:szCs w:val="24"/>
      </w:rPr>
      <w:t xml:space="preserve">2</w:t>
    </w:r>
    <w:r>
      <w:rPr>
        <w:rFonts w:ascii="Liberation Sans" w:hAnsi="Liberation Sans" w:eastAsia="Liberation Sans" w:cs="Liberation Sans"/>
        <w:sz w:val="24"/>
        <w:szCs w:val="24"/>
      </w:rPr>
      <w:fldChar w:fldCharType="end"/>
    </w:r>
    <w:r>
      <w:rPr>
        <w:rFonts w:ascii="Liberation Sans" w:hAnsi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</w:p>
  <w:p>
    <w:pPr>
      <w:pStyle w:val="937"/>
      <w:rPr>
        <w:rFonts w:ascii="Liberation Sans" w:hAnsi="Liberation Sans" w:cs="Liberation Sans"/>
        <w:sz w:val="24"/>
        <w:szCs w:val="24"/>
      </w:rPr>
    </w:pPr>
    <w:r>
      <w:rPr>
        <w:rFonts w:ascii="Liberation Sans" w:hAnsi="Liberation Sans" w:eastAsia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  <w:color w:val="363fe3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  <w:color w:val="3300ff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  <w:color w:val="3300ff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strike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  <w:color w:val="363fe3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strike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‐"/>
      <w:lvlJc w:val="left"/>
      <w:pPr>
        <w:ind w:left="1418" w:hanging="360"/>
      </w:pPr>
      <w:rPr>
        <w:rFonts w:hint="default" w:ascii="Liberation Serif" w:hAnsi="Liberation Serif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>
    <w:name w:val="Heading 1"/>
    <w:basedOn w:val="926"/>
    <w:next w:val="926"/>
    <w:link w:val="7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9">
    <w:name w:val="Heading 1 Char"/>
    <w:link w:val="748"/>
    <w:uiPriority w:val="9"/>
    <w:rPr>
      <w:rFonts w:ascii="Arial" w:hAnsi="Arial" w:eastAsia="Arial" w:cs="Arial"/>
      <w:sz w:val="40"/>
      <w:szCs w:val="40"/>
    </w:rPr>
  </w:style>
  <w:style w:type="paragraph" w:styleId="750">
    <w:name w:val="Heading 2"/>
    <w:basedOn w:val="926"/>
    <w:next w:val="926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1">
    <w:name w:val="Heading 2 Char"/>
    <w:link w:val="750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26"/>
    <w:next w:val="926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26"/>
    <w:next w:val="926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6"/>
    <w:next w:val="926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6"/>
    <w:next w:val="926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6"/>
    <w:next w:val="926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6"/>
    <w:next w:val="926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6"/>
    <w:next w:val="926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926"/>
    <w:uiPriority w:val="34"/>
    <w:qFormat/>
    <w:pPr>
      <w:contextualSpacing/>
      <w:ind w:left="720"/>
    </w:pPr>
  </w:style>
  <w:style w:type="paragraph" w:styleId="767">
    <w:name w:val="No Spacing"/>
    <w:uiPriority w:val="1"/>
    <w:qFormat/>
    <w:pPr>
      <w:spacing w:before="0" w:after="0" w:line="240" w:lineRule="auto"/>
    </w:pPr>
  </w:style>
  <w:style w:type="paragraph" w:styleId="768">
    <w:name w:val="Title"/>
    <w:basedOn w:val="926"/>
    <w:next w:val="926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>
    <w:name w:val="Title Char"/>
    <w:link w:val="768"/>
    <w:uiPriority w:val="10"/>
    <w:rPr>
      <w:sz w:val="48"/>
      <w:szCs w:val="48"/>
    </w:rPr>
  </w:style>
  <w:style w:type="paragraph" w:styleId="770">
    <w:name w:val="Subtitle"/>
    <w:basedOn w:val="926"/>
    <w:next w:val="926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>
    <w:name w:val="Subtitle Char"/>
    <w:link w:val="770"/>
    <w:uiPriority w:val="11"/>
    <w:rPr>
      <w:sz w:val="24"/>
      <w:szCs w:val="24"/>
    </w:rPr>
  </w:style>
  <w:style w:type="paragraph" w:styleId="772">
    <w:name w:val="Quote"/>
    <w:basedOn w:val="926"/>
    <w:next w:val="926"/>
    <w:link w:val="773"/>
    <w:uiPriority w:val="29"/>
    <w:qFormat/>
    <w:pPr>
      <w:ind w:left="720" w:right="720"/>
    </w:pPr>
    <w:rPr>
      <w:i/>
    </w:rPr>
  </w:style>
  <w:style w:type="character" w:styleId="773">
    <w:name w:val="Quote Char"/>
    <w:link w:val="772"/>
    <w:uiPriority w:val="29"/>
    <w:rPr>
      <w:i/>
    </w:rPr>
  </w:style>
  <w:style w:type="paragraph" w:styleId="774">
    <w:name w:val="Intense Quote"/>
    <w:basedOn w:val="926"/>
    <w:next w:val="926"/>
    <w:link w:val="7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>
    <w:name w:val="Intense Quote Char"/>
    <w:link w:val="774"/>
    <w:uiPriority w:val="30"/>
    <w:rPr>
      <w:i/>
    </w:rPr>
  </w:style>
  <w:style w:type="paragraph" w:styleId="776">
    <w:name w:val="Header"/>
    <w:basedOn w:val="926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Header Char"/>
    <w:link w:val="776"/>
    <w:uiPriority w:val="99"/>
  </w:style>
  <w:style w:type="paragraph" w:styleId="778">
    <w:name w:val="Footer"/>
    <w:basedOn w:val="926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>
    <w:name w:val="Footer Char"/>
    <w:link w:val="778"/>
    <w:uiPriority w:val="99"/>
  </w:style>
  <w:style w:type="paragraph" w:styleId="780">
    <w:name w:val="Caption"/>
    <w:basedOn w:val="926"/>
    <w:next w:val="9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>
    <w:name w:val="Caption Char"/>
    <w:basedOn w:val="780"/>
    <w:link w:val="778"/>
    <w:uiPriority w:val="99"/>
  </w:style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paragraph" w:styleId="909">
    <w:name w:val="footnote text"/>
    <w:basedOn w:val="926"/>
    <w:link w:val="910"/>
    <w:uiPriority w:val="99"/>
    <w:semiHidden/>
    <w:unhideWhenUsed/>
    <w:pPr>
      <w:spacing w:after="40" w:line="240" w:lineRule="auto"/>
    </w:pPr>
    <w:rPr>
      <w:sz w:val="18"/>
    </w:rPr>
  </w:style>
  <w:style w:type="character" w:styleId="910">
    <w:name w:val="Footnote Text Char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926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next w:val="926"/>
    <w:link w:val="926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927">
    <w:name w:val="Основной шрифт абзаца"/>
    <w:next w:val="927"/>
    <w:link w:val="926"/>
    <w:uiPriority w:val="1"/>
    <w:semiHidden/>
    <w:unhideWhenUsed/>
  </w:style>
  <w:style w:type="table" w:styleId="928">
    <w:name w:val="Обычная таблица"/>
    <w:next w:val="928"/>
    <w:link w:val="926"/>
    <w:uiPriority w:val="99"/>
    <w:semiHidden/>
    <w:unhideWhenUsed/>
    <w:qFormat/>
    <w:tblPr/>
  </w:style>
  <w:style w:type="numbering" w:styleId="929">
    <w:name w:val="Нет списка"/>
    <w:next w:val="929"/>
    <w:link w:val="926"/>
    <w:uiPriority w:val="99"/>
    <w:semiHidden/>
    <w:unhideWhenUsed/>
  </w:style>
  <w:style w:type="character" w:styleId="930">
    <w:name w:val="Гиперссылка"/>
    <w:basedOn w:val="927"/>
    <w:next w:val="930"/>
    <w:link w:val="926"/>
    <w:uiPriority w:val="99"/>
    <w:unhideWhenUsed/>
    <w:rPr>
      <w:color w:val="0000ff"/>
      <w:u w:val="single"/>
    </w:rPr>
  </w:style>
  <w:style w:type="paragraph" w:styleId="931">
    <w:name w:val="Текст"/>
    <w:basedOn w:val="926"/>
    <w:next w:val="931"/>
    <w:link w:val="932"/>
    <w:pPr>
      <w:jc w:val="both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32">
    <w:name w:val="Текст Знак"/>
    <w:basedOn w:val="927"/>
    <w:next w:val="932"/>
    <w:link w:val="931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33">
    <w:name w:val="ConsPlusNormal"/>
    <w:next w:val="933"/>
    <w:link w:val="934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eastAsia="ru-RU" w:bidi="ar-SA"/>
    </w:rPr>
  </w:style>
  <w:style w:type="character" w:styleId="934">
    <w:name w:val="ConsPlusNormal Знак"/>
    <w:next w:val="934"/>
    <w:link w:val="933"/>
    <w:rPr>
      <w:rFonts w:ascii="Arial" w:hAnsi="Arial" w:eastAsia="Times New Roman" w:cs="Arial"/>
      <w:sz w:val="22"/>
      <w:szCs w:val="22"/>
      <w:lang w:eastAsia="ru-RU" w:bidi="ar-SA"/>
    </w:rPr>
  </w:style>
  <w:style w:type="paragraph" w:styleId="935">
    <w:name w:val="Текст выноски"/>
    <w:basedOn w:val="926"/>
    <w:next w:val="935"/>
    <w:link w:val="9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6">
    <w:name w:val="Текст выноски Знак"/>
    <w:basedOn w:val="927"/>
    <w:next w:val="936"/>
    <w:link w:val="935"/>
    <w:uiPriority w:val="99"/>
    <w:semiHidden/>
    <w:rPr>
      <w:rFonts w:ascii="Tahoma" w:hAnsi="Tahoma" w:cs="Tahoma"/>
      <w:sz w:val="16"/>
      <w:szCs w:val="16"/>
    </w:rPr>
  </w:style>
  <w:style w:type="paragraph" w:styleId="937">
    <w:name w:val="Верхний колонтитул"/>
    <w:basedOn w:val="926"/>
    <w:next w:val="937"/>
    <w:link w:val="9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8">
    <w:name w:val="Верхний колонтитул Знак"/>
    <w:basedOn w:val="927"/>
    <w:next w:val="938"/>
    <w:link w:val="937"/>
    <w:uiPriority w:val="99"/>
  </w:style>
  <w:style w:type="paragraph" w:styleId="939">
    <w:name w:val="Нижний колонтитул"/>
    <w:basedOn w:val="926"/>
    <w:next w:val="939"/>
    <w:link w:val="94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0">
    <w:name w:val="Нижний колонтитул Знак"/>
    <w:basedOn w:val="927"/>
    <w:next w:val="940"/>
    <w:link w:val="939"/>
    <w:uiPriority w:val="99"/>
    <w:semiHidden/>
  </w:style>
  <w:style w:type="character" w:styleId="941">
    <w:name w:val="Выделение"/>
    <w:basedOn w:val="927"/>
    <w:next w:val="941"/>
    <w:link w:val="926"/>
    <w:uiPriority w:val="20"/>
    <w:qFormat/>
    <w:rPr>
      <w:i/>
      <w:iCs/>
    </w:rPr>
  </w:style>
  <w:style w:type="paragraph" w:styleId="942">
    <w:name w:val="Абзац списка"/>
    <w:basedOn w:val="926"/>
    <w:next w:val="942"/>
    <w:link w:val="926"/>
    <w:uiPriority w:val="34"/>
    <w:qFormat/>
    <w:pPr>
      <w:contextualSpacing/>
      <w:ind w:left="720"/>
    </w:pPr>
  </w:style>
  <w:style w:type="character" w:styleId="943">
    <w:name w:val="Строгий"/>
    <w:next w:val="943"/>
    <w:link w:val="926"/>
    <w:rPr>
      <w:b/>
      <w:bCs/>
    </w:rPr>
  </w:style>
  <w:style w:type="paragraph" w:styleId="944">
    <w:name w:val="ConsPlusNonformat"/>
    <w:next w:val="944"/>
    <w:link w:val="92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45">
    <w:name w:val="Основной текст с отступом"/>
    <w:basedOn w:val="926"/>
    <w:next w:val="945"/>
    <w:link w:val="946"/>
    <w:pPr>
      <w:ind w:left="283"/>
      <w:spacing w:after="12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46">
    <w:name w:val="Основной текст с отступом Знак"/>
    <w:basedOn w:val="927"/>
    <w:next w:val="946"/>
    <w:link w:val="945"/>
    <w:rPr>
      <w:rFonts w:ascii="Times New Roman" w:hAnsi="Times New Roman" w:eastAsia="Times New Roman"/>
      <w:sz w:val="28"/>
    </w:rPr>
  </w:style>
  <w:style w:type="character" w:styleId="947" w:default="1">
    <w:name w:val="Default Paragraph Font"/>
    <w:uiPriority w:val="1"/>
    <w:semiHidden/>
    <w:unhideWhenUsed/>
  </w:style>
  <w:style w:type="numbering" w:styleId="948" w:default="1">
    <w:name w:val="No List"/>
    <w:uiPriority w:val="99"/>
    <w:semiHidden/>
    <w:unhideWhenUsed/>
  </w:style>
  <w:style w:type="table" w:styleId="949" w:default="1">
    <w:name w:val="Normal Table"/>
    <w:uiPriority w:val="99"/>
    <w:semiHidden/>
    <w:unhideWhenUsed/>
    <w:tblPr/>
  </w:style>
  <w:style w:type="paragraph" w:styleId="950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Обычный (веб)"/>
    <w:basedOn w:val="912"/>
    <w:next w:val="917"/>
    <w:link w:val="912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18</cp:revision>
  <dcterms:created xsi:type="dcterms:W3CDTF">2022-05-05T06:10:00Z</dcterms:created>
  <dcterms:modified xsi:type="dcterms:W3CDTF">2024-10-24T10:32:05Z</dcterms:modified>
  <cp:version>786432</cp:version>
</cp:coreProperties>
</file>